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color w:val="1d2228"/>
          <w:sz w:val="24"/>
          <w:szCs w:val="24"/>
          <w:highlight w:val="white"/>
        </w:rPr>
      </w:pPr>
      <w:r w:rsidDel="00000000" w:rsidR="00000000" w:rsidRPr="00000000">
        <w:rPr>
          <w:rFonts w:ascii="Times New Roman" w:cs="Times New Roman" w:eastAsia="Times New Roman" w:hAnsi="Times New Roman"/>
          <w:color w:val="1d2228"/>
          <w:sz w:val="24"/>
          <w:szCs w:val="24"/>
          <w:highlight w:val="white"/>
          <w:rtl w:val="0"/>
        </w:rPr>
        <w:t xml:space="preserve">The Jury system relies on jurors who can be impartial during a trial and use evidence shown to them to make a decision on whether or not they come to the conclusion if a defendant is guilty or not. Numerous studies and articles have shown that likely is not the case because  “they bring to the jury their own backgrounds and prejudices and their own processes for making decisions’’ (Gunnell &amp; Ceci, 2010, p. 850). This makes for a huge pushback for the American justice system because the sixth amendment gives everyone the right to a trial by jury. If a defendant can’t have an unbiased trial, then they could likely be </w:t>
      </w:r>
      <w:r w:rsidDel="00000000" w:rsidR="00000000" w:rsidRPr="00000000">
        <w:rPr>
          <w:rFonts w:ascii="Times New Roman" w:cs="Times New Roman" w:eastAsia="Times New Roman" w:hAnsi="Times New Roman"/>
          <w:color w:val="1d2228"/>
          <w:sz w:val="24"/>
          <w:szCs w:val="24"/>
          <w:highlight w:val="white"/>
          <w:u w:val="single"/>
          <w:rtl w:val="0"/>
        </w:rPr>
        <w:t xml:space="preserve">judged more harshly</w:t>
      </w:r>
      <w:r w:rsidDel="00000000" w:rsidR="00000000" w:rsidRPr="00000000">
        <w:rPr>
          <w:rFonts w:ascii="Times New Roman" w:cs="Times New Roman" w:eastAsia="Times New Roman" w:hAnsi="Times New Roman"/>
          <w:color w:val="1d2228"/>
          <w:sz w:val="24"/>
          <w:szCs w:val="24"/>
          <w:highlight w:val="white"/>
          <w:rtl w:val="0"/>
        </w:rPr>
        <w:t xml:space="preserve"> when having a jury judging them on their characteristics (Gunnell &amp; Ceci, 2010, p. 851). One study determined if attractiveness was a factor in deciding if a defendant is guilty. (Gunnell &amp; Ceci, 2010, p.851) Their results showed that was the most consistent factor in changing defendant guilt. They saw that defendants that were considered more attractive likely had a lesser sentence or were found not-guilty when compared to defendants who were not considered conventionally attractive. This study either classified participants as experiential or rational processors,(Gunnell &amp; Ceci, 2010, p.855) and found that E-processors were 22% more likely to convict less attractive defendants and sentenced them for an average of 22 months longer in prison. There was also a trend for E-processors to rate less attractive defendants as the type of person who commits a crime.(Gunnell &amp; Ceci, 2010, p.868) </w:t>
      </w:r>
    </w:p>
    <w:p w:rsidR="00000000" w:rsidDel="00000000" w:rsidP="00000000" w:rsidRDefault="00000000" w:rsidRPr="00000000" w14:paraId="00000002">
      <w:pPr>
        <w:spacing w:line="480" w:lineRule="auto"/>
        <w:rPr>
          <w:rFonts w:ascii="Times New Roman" w:cs="Times New Roman" w:eastAsia="Times New Roman" w:hAnsi="Times New Roman"/>
          <w:color w:val="1d2228"/>
          <w:sz w:val="24"/>
          <w:szCs w:val="24"/>
          <w:highlight w:val="white"/>
        </w:rPr>
      </w:pPr>
      <w:r w:rsidDel="00000000" w:rsidR="00000000" w:rsidRPr="00000000">
        <w:rPr>
          <w:rFonts w:ascii="Times New Roman" w:cs="Times New Roman" w:eastAsia="Times New Roman" w:hAnsi="Times New Roman"/>
          <w:color w:val="1d2228"/>
          <w:sz w:val="24"/>
          <w:szCs w:val="24"/>
          <w:highlight w:val="white"/>
          <w:rtl w:val="0"/>
        </w:rPr>
        <w:tab/>
        <w:t xml:space="preserve">The reliability of the original and revised legal attitudes questionnaire was tested in one study. In both cases, “subjects </w:t>
      </w:r>
      <w:r w:rsidDel="00000000" w:rsidR="00000000" w:rsidRPr="00000000">
        <w:rPr>
          <w:rFonts w:ascii="Times New Roman" w:cs="Times New Roman" w:eastAsia="Times New Roman" w:hAnsi="Times New Roman"/>
          <w:color w:val="1d2228"/>
          <w:sz w:val="24"/>
          <w:szCs w:val="24"/>
          <w:highlight w:val="white"/>
          <w:rtl w:val="0"/>
        </w:rPr>
        <w:t xml:space="preserve">who convicted</w:t>
      </w:r>
      <w:r w:rsidDel="00000000" w:rsidR="00000000" w:rsidRPr="00000000">
        <w:rPr>
          <w:rFonts w:ascii="Times New Roman" w:cs="Times New Roman" w:eastAsia="Times New Roman" w:hAnsi="Times New Roman"/>
          <w:color w:val="1d2228"/>
          <w:sz w:val="24"/>
          <w:szCs w:val="24"/>
          <w:highlight w:val="white"/>
          <w:rtl w:val="0"/>
        </w:rPr>
        <w:t xml:space="preserve">,  in comparison to those </w:t>
      </w:r>
      <w:r w:rsidDel="00000000" w:rsidR="00000000" w:rsidRPr="00000000">
        <w:rPr>
          <w:rFonts w:ascii="Times New Roman" w:cs="Times New Roman" w:eastAsia="Times New Roman" w:hAnsi="Times New Roman"/>
          <w:color w:val="1d2228"/>
          <w:sz w:val="24"/>
          <w:szCs w:val="24"/>
          <w:highlight w:val="white"/>
          <w:rtl w:val="0"/>
        </w:rPr>
        <w:t xml:space="preserve">who acquitted</w:t>
      </w:r>
      <w:r w:rsidDel="00000000" w:rsidR="00000000" w:rsidRPr="00000000">
        <w:rPr>
          <w:rFonts w:ascii="Times New Roman" w:cs="Times New Roman" w:eastAsia="Times New Roman" w:hAnsi="Times New Roman"/>
          <w:color w:val="1d2228"/>
          <w:sz w:val="24"/>
          <w:szCs w:val="24"/>
          <w:highlight w:val="white"/>
          <w:rtl w:val="0"/>
        </w:rPr>
        <w:t xml:space="preserve">, scored significantly higher on the Authoritarian subscale”. (Kravitz et. al, 1993, p.663) Three studies found that the Authoritarian subscale predicted the tendency to convict. The predictive validity of the Equalitarianism subscale is ambiguous. ( Kravitz et. al, 1993, p.664) There does need to be more research done because the research for the RLAQ has been ad hoc and limited. (Kravitz et. al, 1993, p.665) Because the RLAQ force subjects to make discriminations, they will choose to leave these questions blank, therefore each subject was coded based on if the subject provided complete participation in the study. The reliability for the RLAQ is .63, and the subscales range from .45 to .62. (Kravitz et. al, 1993, p.670)</w:t>
      </w:r>
    </w:p>
    <w:p w:rsidR="00000000" w:rsidDel="00000000" w:rsidP="00000000" w:rsidRDefault="00000000" w:rsidRPr="00000000" w14:paraId="00000003">
      <w:pPr>
        <w:spacing w:line="480" w:lineRule="auto"/>
        <w:ind w:firstLine="720"/>
        <w:rPr>
          <w:rFonts w:ascii="Times New Roman" w:cs="Times New Roman" w:eastAsia="Times New Roman" w:hAnsi="Times New Roman"/>
          <w:color w:val="1d2228"/>
          <w:sz w:val="24"/>
          <w:szCs w:val="24"/>
          <w:highlight w:val="white"/>
        </w:rPr>
      </w:pPr>
      <w:r w:rsidDel="00000000" w:rsidR="00000000" w:rsidRPr="00000000">
        <w:rPr>
          <w:rFonts w:ascii="Times New Roman" w:cs="Times New Roman" w:eastAsia="Times New Roman" w:hAnsi="Times New Roman"/>
          <w:color w:val="1d2228"/>
          <w:sz w:val="24"/>
          <w:szCs w:val="24"/>
          <w:highlight w:val="white"/>
          <w:rtl w:val="0"/>
        </w:rPr>
        <w:t xml:space="preserve">Depending on the defendant's race, victims race and juror gender-there will be a difference in the way that evidence is processed. This study found that subtle racism makes it more likely that white jurors will base their decisions on racial issues when race is not a paramount factor in the trial. (ForsterLee et al., 2006, p.180) This article cited that “jurors process information by relying on stereotypical information such as ethnicity,” (ForsterLee et al., 2006, p.181) The race of the victim is a significant factor of whether or not there will be a death sentence. It has actually been seen that white on white violence is met with harsher sentences than black on white violence. There is also evidence that shows when the victim is Black, the defendant is less likely to receive a death penalty. (ForsterLee et al., 2006, p.181) As for the jurors, it has been found that women are more conviction prone compared to their male counterparts. Women are found to be more empathetic towards the victim and therefore want harsher sentences for the defendant. (ForsterLee et al., 2006, p.182) </w:t>
      </w:r>
    </w:p>
    <w:p w:rsidR="00000000" w:rsidDel="00000000" w:rsidP="00000000" w:rsidRDefault="00000000" w:rsidRPr="00000000" w14:paraId="00000004">
      <w:pPr>
        <w:spacing w:line="480" w:lineRule="auto"/>
        <w:ind w:firstLine="720"/>
        <w:rPr>
          <w:rFonts w:ascii="Times New Roman" w:cs="Times New Roman" w:eastAsia="Times New Roman" w:hAnsi="Times New Roman"/>
          <w:color w:val="1d2228"/>
          <w:sz w:val="24"/>
          <w:szCs w:val="24"/>
          <w:highlight w:val="white"/>
        </w:rPr>
      </w:pPr>
      <w:r w:rsidDel="00000000" w:rsidR="00000000" w:rsidRPr="00000000">
        <w:rPr>
          <w:rFonts w:ascii="Times New Roman" w:cs="Times New Roman" w:eastAsia="Times New Roman" w:hAnsi="Times New Roman"/>
          <w:color w:val="1d2228"/>
          <w:sz w:val="24"/>
          <w:szCs w:val="24"/>
          <w:highlight w:val="white"/>
          <w:rtl w:val="0"/>
        </w:rPr>
        <w:t xml:space="preserve">Going along those lines, several studies has found that cases with female victims are more likely to receive the death penalty. (Williams et al., 2008, p.5) This is because defendants who murder women will be perceived by the jurors as more dangerous and more blameworthy then defendants who kill men. (Williams et al., 2008, p.5) There is considerable symbolic power in the United States os white female victimization and they may be perceived as the group that needs the most protection from violence. (Williams et al., 2008, p.7) There is likely juror bias in every case that goes through the justice system. Being able to understand why and how this happens could be extremely helpful in future cases and studies. </w:t>
      </w:r>
    </w:p>
    <w:p w:rsidR="00000000" w:rsidDel="00000000" w:rsidP="00000000" w:rsidRDefault="00000000" w:rsidRPr="00000000" w14:paraId="00000005">
      <w:pPr>
        <w:spacing w:line="480" w:lineRule="auto"/>
        <w:ind w:left="0" w:firstLine="0"/>
        <w:rPr>
          <w:rFonts w:ascii="Times New Roman" w:cs="Times New Roman" w:eastAsia="Times New Roman" w:hAnsi="Times New Roman"/>
          <w:color w:val="1d2228"/>
          <w:sz w:val="24"/>
          <w:szCs w:val="24"/>
          <w:highlight w:val="white"/>
        </w:rPr>
      </w:pPr>
      <w:r w:rsidDel="00000000" w:rsidR="00000000" w:rsidRPr="00000000">
        <w:rPr>
          <w:rFonts w:ascii="Times New Roman" w:cs="Times New Roman" w:eastAsia="Times New Roman" w:hAnsi="Times New Roman"/>
          <w:color w:val="1d2228"/>
          <w:sz w:val="24"/>
          <w:szCs w:val="24"/>
          <w:highlight w:val="white"/>
          <w:rtl w:val="0"/>
        </w:rPr>
        <w:tab/>
      </w:r>
      <w:r w:rsidDel="00000000" w:rsidR="00000000" w:rsidRPr="00000000">
        <w:rPr>
          <w:rtl w:val="0"/>
        </w:rPr>
      </w:r>
    </w:p>
    <w:p w:rsidR="00000000" w:rsidDel="00000000" w:rsidP="00000000" w:rsidRDefault="00000000" w:rsidRPr="00000000" w14:paraId="00000006">
      <w:pPr>
        <w:spacing w:line="480" w:lineRule="auto"/>
        <w:rPr>
          <w:rFonts w:ascii="Times New Roman" w:cs="Times New Roman" w:eastAsia="Times New Roman" w:hAnsi="Times New Roman"/>
          <w:color w:val="1d2228"/>
          <w:sz w:val="24"/>
          <w:szCs w:val="24"/>
          <w:highlight w:val="white"/>
        </w:rPr>
      </w:pPr>
      <w:r w:rsidDel="00000000" w:rsidR="00000000" w:rsidRPr="00000000">
        <w:rPr>
          <w:rtl w:val="0"/>
        </w:rPr>
      </w:r>
    </w:p>
    <w:p w:rsidR="00000000" w:rsidDel="00000000" w:rsidP="00000000" w:rsidRDefault="00000000" w:rsidRPr="00000000" w14:paraId="00000007">
      <w:pPr>
        <w:spacing w:line="480" w:lineRule="auto"/>
        <w:ind w:left="0" w:firstLine="0"/>
        <w:rPr>
          <w:rFonts w:ascii="Times New Roman" w:cs="Times New Roman" w:eastAsia="Times New Roman" w:hAnsi="Times New Roman"/>
          <w:color w:val="1d2228"/>
          <w:sz w:val="24"/>
          <w:szCs w:val="24"/>
          <w:highlight w:val="white"/>
        </w:rPr>
      </w:pPr>
      <w:r w:rsidDel="00000000" w:rsidR="00000000" w:rsidRPr="00000000">
        <w:rPr>
          <w:rtl w:val="0"/>
        </w:rPr>
      </w:r>
    </w:p>
    <w:p w:rsidR="00000000" w:rsidDel="00000000" w:rsidP="00000000" w:rsidRDefault="00000000" w:rsidRPr="00000000" w14:paraId="00000008">
      <w:pPr>
        <w:spacing w:line="480" w:lineRule="auto"/>
        <w:ind w:left="1440" w:firstLine="0"/>
        <w:rPr>
          <w:rFonts w:ascii="Times New Roman" w:cs="Times New Roman" w:eastAsia="Times New Roman" w:hAnsi="Times New Roman"/>
          <w:b w:val="1"/>
          <w:color w:val="1d2228"/>
          <w:sz w:val="24"/>
          <w:szCs w:val="24"/>
          <w:highlight w:val="white"/>
        </w:rPr>
      </w:pPr>
      <w:r w:rsidDel="00000000" w:rsidR="00000000" w:rsidRPr="00000000">
        <w:rPr>
          <w:rtl w:val="0"/>
        </w:rPr>
      </w:r>
    </w:p>
    <w:p w:rsidR="00000000" w:rsidDel="00000000" w:rsidP="00000000" w:rsidRDefault="00000000" w:rsidRPr="00000000" w14:paraId="00000009">
      <w:pPr>
        <w:spacing w:line="480" w:lineRule="auto"/>
        <w:ind w:left="720" w:firstLine="720"/>
        <w:rPr>
          <w:rFonts w:ascii="Times New Roman" w:cs="Times New Roman" w:eastAsia="Times New Roman" w:hAnsi="Times New Roman"/>
          <w:color w:val="222222"/>
          <w:sz w:val="23"/>
          <w:szCs w:val="23"/>
          <w:highlight w:val="white"/>
        </w:rPr>
      </w:pPr>
      <w:r w:rsidDel="00000000" w:rsidR="00000000" w:rsidRPr="00000000">
        <w:rPr>
          <w:rtl w:val="0"/>
        </w:rPr>
      </w:r>
    </w:p>
    <w:p w:rsidR="00000000" w:rsidDel="00000000" w:rsidP="00000000" w:rsidRDefault="00000000" w:rsidRPr="00000000" w14:paraId="0000000A">
      <w:pPr>
        <w:spacing w:line="480" w:lineRule="auto"/>
        <w:ind w:left="720" w:firstLine="720"/>
        <w:rPr>
          <w:rFonts w:ascii="Times New Roman" w:cs="Times New Roman" w:eastAsia="Times New Roman" w:hAnsi="Times New Roman"/>
          <w:color w:val="222222"/>
          <w:sz w:val="23"/>
          <w:szCs w:val="23"/>
          <w:highlight w:val="white"/>
        </w:rPr>
      </w:pPr>
      <w:r w:rsidDel="00000000" w:rsidR="00000000" w:rsidRPr="00000000">
        <w:rPr>
          <w:rtl w:val="0"/>
        </w:rPr>
      </w:r>
    </w:p>
    <w:p w:rsidR="00000000" w:rsidDel="00000000" w:rsidP="00000000" w:rsidRDefault="00000000" w:rsidRPr="00000000" w14:paraId="0000000B">
      <w:pPr>
        <w:spacing w:line="480" w:lineRule="auto"/>
        <w:ind w:left="720" w:firstLine="720"/>
        <w:rPr>
          <w:rFonts w:ascii="Times New Roman" w:cs="Times New Roman" w:eastAsia="Times New Roman" w:hAnsi="Times New Roman"/>
          <w:color w:val="222222"/>
          <w:sz w:val="23"/>
          <w:szCs w:val="23"/>
          <w:highlight w:val="white"/>
        </w:rPr>
      </w:pPr>
      <w:r w:rsidDel="00000000" w:rsidR="00000000" w:rsidRPr="00000000">
        <w:rPr>
          <w:rtl w:val="0"/>
        </w:rPr>
      </w:r>
    </w:p>
    <w:p w:rsidR="00000000" w:rsidDel="00000000" w:rsidP="00000000" w:rsidRDefault="00000000" w:rsidRPr="00000000" w14:paraId="0000000C">
      <w:pPr>
        <w:spacing w:line="480" w:lineRule="auto"/>
        <w:ind w:left="720" w:firstLine="720"/>
        <w:rPr>
          <w:rFonts w:ascii="Times New Roman" w:cs="Times New Roman" w:eastAsia="Times New Roman" w:hAnsi="Times New Roman"/>
          <w:color w:val="222222"/>
          <w:sz w:val="23"/>
          <w:szCs w:val="23"/>
          <w:highlight w:val="white"/>
        </w:rPr>
      </w:pPr>
      <w:r w:rsidDel="00000000" w:rsidR="00000000" w:rsidRPr="00000000">
        <w:rPr>
          <w:rtl w:val="0"/>
        </w:rPr>
      </w:r>
    </w:p>
    <w:p w:rsidR="00000000" w:rsidDel="00000000" w:rsidP="00000000" w:rsidRDefault="00000000" w:rsidRPr="00000000" w14:paraId="0000000D">
      <w:pPr>
        <w:spacing w:line="480" w:lineRule="auto"/>
        <w:ind w:left="720" w:firstLine="720"/>
        <w:rPr>
          <w:rFonts w:ascii="Times New Roman" w:cs="Times New Roman" w:eastAsia="Times New Roman" w:hAnsi="Times New Roman"/>
          <w:color w:val="222222"/>
          <w:sz w:val="23"/>
          <w:szCs w:val="23"/>
          <w:highlight w:val="white"/>
        </w:rPr>
      </w:pPr>
      <w:r w:rsidDel="00000000" w:rsidR="00000000" w:rsidRPr="00000000">
        <w:rPr>
          <w:rtl w:val="0"/>
        </w:rPr>
      </w:r>
    </w:p>
    <w:p w:rsidR="00000000" w:rsidDel="00000000" w:rsidP="00000000" w:rsidRDefault="00000000" w:rsidRPr="00000000" w14:paraId="0000000E">
      <w:pPr>
        <w:spacing w:line="480" w:lineRule="auto"/>
        <w:ind w:left="720" w:firstLine="720"/>
        <w:rPr>
          <w:rFonts w:ascii="Times New Roman" w:cs="Times New Roman" w:eastAsia="Times New Roman" w:hAnsi="Times New Roman"/>
          <w:color w:val="222222"/>
          <w:sz w:val="23"/>
          <w:szCs w:val="23"/>
          <w:highlight w:val="white"/>
        </w:rPr>
      </w:pPr>
      <w:r w:rsidDel="00000000" w:rsidR="00000000" w:rsidRPr="00000000">
        <w:rPr>
          <w:rtl w:val="0"/>
        </w:rPr>
      </w:r>
    </w:p>
    <w:p w:rsidR="00000000" w:rsidDel="00000000" w:rsidP="00000000" w:rsidRDefault="00000000" w:rsidRPr="00000000" w14:paraId="0000000F">
      <w:pPr>
        <w:spacing w:line="480" w:lineRule="auto"/>
        <w:ind w:left="720" w:firstLine="720"/>
        <w:rPr>
          <w:rFonts w:ascii="Times New Roman" w:cs="Times New Roman" w:eastAsia="Times New Roman" w:hAnsi="Times New Roman"/>
          <w:color w:val="222222"/>
          <w:sz w:val="23"/>
          <w:szCs w:val="23"/>
          <w:highlight w:val="white"/>
        </w:rPr>
      </w:pPr>
      <w:r w:rsidDel="00000000" w:rsidR="00000000" w:rsidRPr="00000000">
        <w:rPr>
          <w:rtl w:val="0"/>
        </w:rPr>
      </w:r>
    </w:p>
    <w:p w:rsidR="00000000" w:rsidDel="00000000" w:rsidP="00000000" w:rsidRDefault="00000000" w:rsidRPr="00000000" w14:paraId="00000010">
      <w:pPr>
        <w:spacing w:line="480" w:lineRule="auto"/>
        <w:ind w:left="720" w:firstLine="720"/>
        <w:rPr>
          <w:rFonts w:ascii="Times New Roman" w:cs="Times New Roman" w:eastAsia="Times New Roman" w:hAnsi="Times New Roman"/>
          <w:color w:val="222222"/>
          <w:sz w:val="23"/>
          <w:szCs w:val="23"/>
          <w:highlight w:val="white"/>
        </w:rPr>
      </w:pPr>
      <w:r w:rsidDel="00000000" w:rsidR="00000000" w:rsidRPr="00000000">
        <w:rPr>
          <w:rtl w:val="0"/>
        </w:rPr>
      </w:r>
    </w:p>
    <w:p w:rsidR="00000000" w:rsidDel="00000000" w:rsidP="00000000" w:rsidRDefault="00000000" w:rsidRPr="00000000" w14:paraId="00000011">
      <w:pPr>
        <w:spacing w:line="480" w:lineRule="auto"/>
        <w:ind w:left="720" w:firstLine="720"/>
        <w:rPr>
          <w:rFonts w:ascii="Times New Roman" w:cs="Times New Roman" w:eastAsia="Times New Roman" w:hAnsi="Times New Roman"/>
          <w:color w:val="222222"/>
          <w:sz w:val="23"/>
          <w:szCs w:val="23"/>
          <w:highlight w:val="white"/>
        </w:rPr>
      </w:pPr>
      <w:r w:rsidDel="00000000" w:rsidR="00000000" w:rsidRPr="00000000">
        <w:rPr>
          <w:rtl w:val="0"/>
        </w:rPr>
      </w:r>
    </w:p>
    <w:p w:rsidR="00000000" w:rsidDel="00000000" w:rsidP="00000000" w:rsidRDefault="00000000" w:rsidRPr="00000000" w14:paraId="00000012">
      <w:pPr>
        <w:spacing w:line="480" w:lineRule="auto"/>
        <w:ind w:left="720" w:firstLine="720"/>
        <w:rPr>
          <w:rFonts w:ascii="Times New Roman" w:cs="Times New Roman" w:eastAsia="Times New Roman" w:hAnsi="Times New Roman"/>
          <w:color w:val="222222"/>
          <w:sz w:val="23"/>
          <w:szCs w:val="23"/>
          <w:highlight w:val="white"/>
        </w:rPr>
      </w:pPr>
      <w:r w:rsidDel="00000000" w:rsidR="00000000" w:rsidRPr="00000000">
        <w:rPr>
          <w:rtl w:val="0"/>
        </w:rPr>
      </w:r>
    </w:p>
    <w:p w:rsidR="00000000" w:rsidDel="00000000" w:rsidP="00000000" w:rsidRDefault="00000000" w:rsidRPr="00000000" w14:paraId="00000013">
      <w:pPr>
        <w:spacing w:line="480" w:lineRule="auto"/>
        <w:ind w:left="720" w:firstLine="720"/>
        <w:rPr>
          <w:rFonts w:ascii="Times New Roman" w:cs="Times New Roman" w:eastAsia="Times New Roman" w:hAnsi="Times New Roman"/>
          <w:color w:val="222222"/>
          <w:sz w:val="23"/>
          <w:szCs w:val="23"/>
          <w:highlight w:val="white"/>
        </w:rPr>
      </w:pPr>
      <w:r w:rsidDel="00000000" w:rsidR="00000000" w:rsidRPr="00000000">
        <w:rPr>
          <w:rtl w:val="0"/>
        </w:rPr>
      </w:r>
    </w:p>
    <w:p w:rsidR="00000000" w:rsidDel="00000000" w:rsidP="00000000" w:rsidRDefault="00000000" w:rsidRPr="00000000" w14:paraId="00000014">
      <w:pPr>
        <w:spacing w:line="480" w:lineRule="auto"/>
        <w:ind w:left="720" w:firstLine="720"/>
        <w:rPr>
          <w:rFonts w:ascii="Times New Roman" w:cs="Times New Roman" w:eastAsia="Times New Roman" w:hAnsi="Times New Roman"/>
          <w:color w:val="222222"/>
          <w:sz w:val="23"/>
          <w:szCs w:val="23"/>
          <w:highlight w:val="white"/>
        </w:rPr>
      </w:pPr>
      <w:r w:rsidDel="00000000" w:rsidR="00000000" w:rsidRPr="00000000">
        <w:rPr>
          <w:rtl w:val="0"/>
        </w:rPr>
      </w:r>
    </w:p>
    <w:p w:rsidR="00000000" w:rsidDel="00000000" w:rsidP="00000000" w:rsidRDefault="00000000" w:rsidRPr="00000000" w14:paraId="00000015">
      <w:pPr>
        <w:spacing w:line="480" w:lineRule="auto"/>
        <w:ind w:left="720" w:firstLine="720"/>
        <w:rPr>
          <w:rFonts w:ascii="Times New Roman" w:cs="Times New Roman" w:eastAsia="Times New Roman" w:hAnsi="Times New Roman"/>
          <w:color w:val="222222"/>
          <w:sz w:val="23"/>
          <w:szCs w:val="23"/>
          <w:highlight w:val="white"/>
        </w:rPr>
      </w:pPr>
      <w:r w:rsidDel="00000000" w:rsidR="00000000" w:rsidRPr="00000000">
        <w:rPr>
          <w:rtl w:val="0"/>
        </w:rPr>
      </w:r>
    </w:p>
    <w:p w:rsidR="00000000" w:rsidDel="00000000" w:rsidP="00000000" w:rsidRDefault="00000000" w:rsidRPr="00000000" w14:paraId="00000016">
      <w:pPr>
        <w:spacing w:line="480" w:lineRule="auto"/>
        <w:ind w:left="720" w:firstLine="720"/>
        <w:rPr>
          <w:rFonts w:ascii="Times New Roman" w:cs="Times New Roman" w:eastAsia="Times New Roman" w:hAnsi="Times New Roman"/>
          <w:color w:val="222222"/>
          <w:sz w:val="23"/>
          <w:szCs w:val="23"/>
          <w:highlight w:val="white"/>
        </w:rPr>
      </w:pPr>
      <w:r w:rsidDel="00000000" w:rsidR="00000000" w:rsidRPr="00000000">
        <w:rPr>
          <w:rtl w:val="0"/>
        </w:rPr>
      </w:r>
    </w:p>
    <w:p w:rsidR="00000000" w:rsidDel="00000000" w:rsidP="00000000" w:rsidRDefault="00000000" w:rsidRPr="00000000" w14:paraId="00000017">
      <w:pPr>
        <w:spacing w:line="480" w:lineRule="auto"/>
        <w:ind w:left="720" w:firstLine="720"/>
        <w:rPr>
          <w:rFonts w:ascii="Times New Roman" w:cs="Times New Roman" w:eastAsia="Times New Roman" w:hAnsi="Times New Roman"/>
          <w:color w:val="222222"/>
          <w:sz w:val="23"/>
          <w:szCs w:val="23"/>
          <w:highlight w:val="white"/>
        </w:rPr>
      </w:pPr>
      <w:r w:rsidDel="00000000" w:rsidR="00000000" w:rsidRPr="00000000">
        <w:rPr>
          <w:rtl w:val="0"/>
        </w:rPr>
      </w:r>
    </w:p>
    <w:p w:rsidR="00000000" w:rsidDel="00000000" w:rsidP="00000000" w:rsidRDefault="00000000" w:rsidRPr="00000000" w14:paraId="00000018">
      <w:pPr>
        <w:spacing w:line="480" w:lineRule="auto"/>
        <w:ind w:left="720" w:firstLine="720"/>
        <w:rPr>
          <w:rFonts w:ascii="Times New Roman" w:cs="Times New Roman" w:eastAsia="Times New Roman" w:hAnsi="Times New Roman"/>
          <w:color w:val="222222"/>
          <w:sz w:val="23"/>
          <w:szCs w:val="23"/>
          <w:highlight w:val="white"/>
        </w:rPr>
      </w:pPr>
      <w:r w:rsidDel="00000000" w:rsidR="00000000" w:rsidRPr="00000000">
        <w:rPr>
          <w:rtl w:val="0"/>
        </w:rPr>
      </w:r>
    </w:p>
    <w:p w:rsidR="00000000" w:rsidDel="00000000" w:rsidP="00000000" w:rsidRDefault="00000000" w:rsidRPr="00000000" w14:paraId="00000019">
      <w:pPr>
        <w:spacing w:line="480" w:lineRule="auto"/>
        <w:ind w:left="720" w:firstLine="720"/>
        <w:rPr>
          <w:rFonts w:ascii="Times New Roman" w:cs="Times New Roman" w:eastAsia="Times New Roman" w:hAnsi="Times New Roman"/>
          <w:color w:val="222222"/>
          <w:sz w:val="23"/>
          <w:szCs w:val="23"/>
          <w:highlight w:val="white"/>
        </w:rPr>
      </w:pPr>
      <w:r w:rsidDel="00000000" w:rsidR="00000000" w:rsidRPr="00000000">
        <w:rPr>
          <w:rtl w:val="0"/>
        </w:rPr>
      </w:r>
    </w:p>
    <w:p w:rsidR="00000000" w:rsidDel="00000000" w:rsidP="00000000" w:rsidRDefault="00000000" w:rsidRPr="00000000" w14:paraId="0000001A">
      <w:pPr>
        <w:spacing w:line="480" w:lineRule="auto"/>
        <w:ind w:left="720" w:firstLine="720"/>
        <w:rPr>
          <w:rFonts w:ascii="Times New Roman" w:cs="Times New Roman" w:eastAsia="Times New Roman" w:hAnsi="Times New Roman"/>
          <w:color w:val="222222"/>
          <w:sz w:val="23"/>
          <w:szCs w:val="23"/>
          <w:highlight w:val="white"/>
        </w:rPr>
      </w:pPr>
      <w:r w:rsidDel="00000000" w:rsidR="00000000" w:rsidRPr="00000000">
        <w:rPr>
          <w:rtl w:val="0"/>
        </w:rPr>
      </w:r>
    </w:p>
    <w:p w:rsidR="00000000" w:rsidDel="00000000" w:rsidP="00000000" w:rsidRDefault="00000000" w:rsidRPr="00000000" w14:paraId="0000001B">
      <w:pPr>
        <w:spacing w:line="480" w:lineRule="auto"/>
        <w:ind w:left="0" w:firstLine="720"/>
        <w:jc w:val="center"/>
        <w:rPr>
          <w:rFonts w:ascii="Times New Roman" w:cs="Times New Roman" w:eastAsia="Times New Roman" w:hAnsi="Times New Roman"/>
          <w:b w:val="1"/>
          <w:color w:val="222222"/>
          <w:sz w:val="23"/>
          <w:szCs w:val="23"/>
          <w:highlight w:val="white"/>
          <w:u w:val="single"/>
        </w:rPr>
      </w:pPr>
      <w:r w:rsidDel="00000000" w:rsidR="00000000" w:rsidRPr="00000000">
        <w:rPr>
          <w:rFonts w:ascii="Times New Roman" w:cs="Times New Roman" w:eastAsia="Times New Roman" w:hAnsi="Times New Roman"/>
          <w:b w:val="1"/>
          <w:color w:val="222222"/>
          <w:sz w:val="23"/>
          <w:szCs w:val="23"/>
          <w:highlight w:val="white"/>
          <w:u w:val="single"/>
          <w:rtl w:val="0"/>
        </w:rPr>
        <w:t xml:space="preserve">References</w:t>
      </w:r>
    </w:p>
    <w:p w:rsidR="00000000" w:rsidDel="00000000" w:rsidP="00000000" w:rsidRDefault="00000000" w:rsidRPr="00000000" w14:paraId="0000001C">
      <w:pPr>
        <w:spacing w:after="240" w:before="240" w:line="480" w:lineRule="auto"/>
        <w:ind w:left="0" w:firstLine="0"/>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ForsterLee, R., ForsterLee, L., Horowitz, I. A., &amp; King, E. (2006). The effects of defendant race,</w:t>
      </w:r>
    </w:p>
    <w:p w:rsidR="00000000" w:rsidDel="00000000" w:rsidP="00000000" w:rsidRDefault="00000000" w:rsidRPr="00000000" w14:paraId="0000001D">
      <w:pPr>
        <w:spacing w:after="240" w:before="240" w:line="480" w:lineRule="auto"/>
        <w:ind w:left="720" w:firstLine="0"/>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  victim race, and juror gender on evidence processing in a murder trial. </w:t>
      </w:r>
      <w:r w:rsidDel="00000000" w:rsidR="00000000" w:rsidRPr="00000000">
        <w:rPr>
          <w:rFonts w:ascii="Times New Roman" w:cs="Times New Roman" w:eastAsia="Times New Roman" w:hAnsi="Times New Roman"/>
          <w:i w:val="1"/>
          <w:color w:val="222222"/>
          <w:sz w:val="23"/>
          <w:szCs w:val="23"/>
          <w:highlight w:val="white"/>
          <w:rtl w:val="0"/>
        </w:rPr>
        <w:t xml:space="preserve">Behavioral Sciences &amp; the Law</w:t>
      </w:r>
      <w:r w:rsidDel="00000000" w:rsidR="00000000" w:rsidRPr="00000000">
        <w:rPr>
          <w:rFonts w:ascii="Times New Roman" w:cs="Times New Roman" w:eastAsia="Times New Roman" w:hAnsi="Times New Roman"/>
          <w:color w:val="222222"/>
          <w:sz w:val="23"/>
          <w:szCs w:val="23"/>
          <w:highlight w:val="white"/>
          <w:rtl w:val="0"/>
        </w:rPr>
        <w:t xml:space="preserve">, </w:t>
      </w:r>
      <w:r w:rsidDel="00000000" w:rsidR="00000000" w:rsidRPr="00000000">
        <w:rPr>
          <w:rFonts w:ascii="Times New Roman" w:cs="Times New Roman" w:eastAsia="Times New Roman" w:hAnsi="Times New Roman"/>
          <w:i w:val="1"/>
          <w:color w:val="222222"/>
          <w:sz w:val="23"/>
          <w:szCs w:val="23"/>
          <w:highlight w:val="white"/>
          <w:rtl w:val="0"/>
        </w:rPr>
        <w:t xml:space="preserve">24</w:t>
      </w:r>
      <w:r w:rsidDel="00000000" w:rsidR="00000000" w:rsidRPr="00000000">
        <w:rPr>
          <w:rFonts w:ascii="Times New Roman" w:cs="Times New Roman" w:eastAsia="Times New Roman" w:hAnsi="Times New Roman"/>
          <w:color w:val="222222"/>
          <w:sz w:val="23"/>
          <w:szCs w:val="23"/>
          <w:highlight w:val="white"/>
          <w:rtl w:val="0"/>
        </w:rPr>
        <w:t xml:space="preserve">(2), 179–198. https://doi.org/10.1002/bsl.675 </w:t>
      </w:r>
    </w:p>
    <w:p w:rsidR="00000000" w:rsidDel="00000000" w:rsidP="00000000" w:rsidRDefault="00000000" w:rsidRPr="00000000" w14:paraId="0000001E">
      <w:pPr>
        <w:spacing w:after="240" w:before="240" w:line="480" w:lineRule="auto"/>
        <w:ind w:left="0" w:firstLine="0"/>
        <w:rPr>
          <w:rFonts w:ascii="Times New Roman" w:cs="Times New Roman" w:eastAsia="Times New Roman" w:hAnsi="Times New Roman"/>
          <w:color w:val="222222"/>
          <w:sz w:val="23"/>
          <w:szCs w:val="23"/>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Gunnell, J. J., &amp; Ceci, S. J. (2010). When emotionality trumps reason:A study of individual </w:t>
      </w:r>
    </w:p>
    <w:p w:rsidR="00000000" w:rsidDel="00000000" w:rsidP="00000000" w:rsidRDefault="00000000" w:rsidRPr="00000000" w14:paraId="0000001F">
      <w:pPr>
        <w:spacing w:after="240" w:before="240" w:line="480" w:lineRule="auto"/>
        <w:ind w:left="720" w:firstLine="0"/>
        <w:rPr>
          <w:rFonts w:ascii="Times New Roman" w:cs="Times New Roman" w:eastAsia="Times New Roman" w:hAnsi="Times New Roman"/>
          <w:color w:val="1d2228"/>
          <w:sz w:val="24"/>
          <w:szCs w:val="24"/>
          <w:highlight w:val="white"/>
        </w:rPr>
      </w:pPr>
      <w:r w:rsidDel="00000000" w:rsidR="00000000" w:rsidRPr="00000000">
        <w:rPr>
          <w:rFonts w:ascii="Times New Roman" w:cs="Times New Roman" w:eastAsia="Times New Roman" w:hAnsi="Times New Roman"/>
          <w:color w:val="222222"/>
          <w:sz w:val="23"/>
          <w:szCs w:val="23"/>
          <w:highlight w:val="white"/>
          <w:rtl w:val="0"/>
        </w:rPr>
        <w:t xml:space="preserve">processing style and juror bias. Behavioral Sciences  &amp; the Law, 28(6), 850–877. </w:t>
      </w:r>
      <w:hyperlink r:id="rId6">
        <w:r w:rsidDel="00000000" w:rsidR="00000000" w:rsidRPr="00000000">
          <w:rPr>
            <w:rFonts w:ascii="Times New Roman" w:cs="Times New Roman" w:eastAsia="Times New Roman" w:hAnsi="Times New Roman"/>
            <w:color w:val="1155cc"/>
            <w:sz w:val="23"/>
            <w:szCs w:val="23"/>
            <w:highlight w:val="white"/>
            <w:u w:val="single"/>
            <w:rtl w:val="0"/>
          </w:rPr>
          <w:t xml:space="preserve">https://doi.org/10.1002/bsl.93</w:t>
        </w:r>
      </w:hyperlink>
      <w:r w:rsidDel="00000000" w:rsidR="00000000" w:rsidRPr="00000000">
        <w:rPr>
          <w:rtl w:val="0"/>
        </w:rPr>
      </w:r>
    </w:p>
    <w:p w:rsidR="00000000" w:rsidDel="00000000" w:rsidP="00000000" w:rsidRDefault="00000000" w:rsidRPr="00000000" w14:paraId="00000020">
      <w:pPr>
        <w:spacing w:after="240" w:before="240" w:line="480" w:lineRule="auto"/>
        <w:ind w:left="0" w:firstLine="0"/>
        <w:rPr>
          <w:rFonts w:ascii="Times New Roman" w:cs="Times New Roman" w:eastAsia="Times New Roman" w:hAnsi="Times New Roman"/>
          <w:color w:val="1d2228"/>
          <w:sz w:val="24"/>
          <w:szCs w:val="24"/>
          <w:highlight w:val="white"/>
        </w:rPr>
      </w:pPr>
      <w:r w:rsidDel="00000000" w:rsidR="00000000" w:rsidRPr="00000000">
        <w:rPr>
          <w:rFonts w:ascii="Times New Roman" w:cs="Times New Roman" w:eastAsia="Times New Roman" w:hAnsi="Times New Roman"/>
          <w:color w:val="1d2228"/>
          <w:sz w:val="24"/>
          <w:szCs w:val="24"/>
          <w:highlight w:val="white"/>
          <w:rtl w:val="0"/>
        </w:rPr>
        <w:t xml:space="preserve">Kravitz, D. A., Cutler, B. L., &amp; Brock, P. (1993). Reliability and validity of the original </w:t>
      </w:r>
    </w:p>
    <w:p w:rsidR="00000000" w:rsidDel="00000000" w:rsidP="00000000" w:rsidRDefault="00000000" w:rsidRPr="00000000" w14:paraId="00000021">
      <w:pPr>
        <w:spacing w:after="240" w:before="240" w:line="480" w:lineRule="auto"/>
        <w:ind w:left="720" w:firstLine="0"/>
        <w:rPr>
          <w:rFonts w:ascii="Times New Roman" w:cs="Times New Roman" w:eastAsia="Times New Roman" w:hAnsi="Times New Roman"/>
          <w:color w:val="1d2228"/>
          <w:sz w:val="24"/>
          <w:szCs w:val="24"/>
          <w:highlight w:val="white"/>
        </w:rPr>
      </w:pPr>
      <w:r w:rsidDel="00000000" w:rsidR="00000000" w:rsidRPr="00000000">
        <w:rPr>
          <w:rFonts w:ascii="Times New Roman" w:cs="Times New Roman" w:eastAsia="Times New Roman" w:hAnsi="Times New Roman"/>
          <w:color w:val="1d2228"/>
          <w:sz w:val="24"/>
          <w:szCs w:val="24"/>
          <w:highlight w:val="white"/>
          <w:rtl w:val="0"/>
        </w:rPr>
        <w:t xml:space="preserve">and Revised Legal Attitudes Questionnaire. </w:t>
      </w:r>
      <w:r w:rsidDel="00000000" w:rsidR="00000000" w:rsidRPr="00000000">
        <w:rPr>
          <w:rFonts w:ascii="Times New Roman" w:cs="Times New Roman" w:eastAsia="Times New Roman" w:hAnsi="Times New Roman"/>
          <w:i w:val="1"/>
          <w:color w:val="1d2228"/>
          <w:sz w:val="24"/>
          <w:szCs w:val="24"/>
          <w:highlight w:val="white"/>
          <w:rtl w:val="0"/>
        </w:rPr>
        <w:t xml:space="preserve">Law and  Human Behavior</w:t>
      </w:r>
      <w:r w:rsidDel="00000000" w:rsidR="00000000" w:rsidRPr="00000000">
        <w:rPr>
          <w:rFonts w:ascii="Times New Roman" w:cs="Times New Roman" w:eastAsia="Times New Roman" w:hAnsi="Times New Roman"/>
          <w:color w:val="1d2228"/>
          <w:sz w:val="24"/>
          <w:szCs w:val="24"/>
          <w:highlight w:val="white"/>
          <w:rtl w:val="0"/>
        </w:rPr>
        <w:t xml:space="preserve">, </w:t>
      </w:r>
      <w:r w:rsidDel="00000000" w:rsidR="00000000" w:rsidRPr="00000000">
        <w:rPr>
          <w:rFonts w:ascii="Times New Roman" w:cs="Times New Roman" w:eastAsia="Times New Roman" w:hAnsi="Times New Roman"/>
          <w:i w:val="1"/>
          <w:color w:val="1d2228"/>
          <w:sz w:val="24"/>
          <w:szCs w:val="24"/>
          <w:highlight w:val="white"/>
          <w:rtl w:val="0"/>
        </w:rPr>
        <w:t xml:space="preserve">17</w:t>
      </w:r>
      <w:r w:rsidDel="00000000" w:rsidR="00000000" w:rsidRPr="00000000">
        <w:rPr>
          <w:rFonts w:ascii="Times New Roman" w:cs="Times New Roman" w:eastAsia="Times New Roman" w:hAnsi="Times New Roman"/>
          <w:color w:val="1d2228"/>
          <w:sz w:val="24"/>
          <w:szCs w:val="24"/>
          <w:highlight w:val="white"/>
          <w:rtl w:val="0"/>
        </w:rPr>
        <w:t xml:space="preserve">(6), 661–677. https://doi.org/10.1007/bf01044688 </w:t>
      </w:r>
    </w:p>
    <w:p w:rsidR="00000000" w:rsidDel="00000000" w:rsidP="00000000" w:rsidRDefault="00000000" w:rsidRPr="00000000" w14:paraId="00000022">
      <w:pPr>
        <w:spacing w:after="240" w:before="240" w:line="480" w:lineRule="auto"/>
        <w:ind w:left="0" w:firstLine="0"/>
        <w:rPr>
          <w:rFonts w:ascii="Times New Roman" w:cs="Times New Roman" w:eastAsia="Times New Roman" w:hAnsi="Times New Roman"/>
          <w:color w:val="1d2228"/>
          <w:sz w:val="24"/>
          <w:szCs w:val="24"/>
          <w:highlight w:val="white"/>
        </w:rPr>
      </w:pPr>
      <w:r w:rsidDel="00000000" w:rsidR="00000000" w:rsidRPr="00000000">
        <w:rPr>
          <w:rFonts w:ascii="Times New Roman" w:cs="Times New Roman" w:eastAsia="Times New Roman" w:hAnsi="Times New Roman"/>
          <w:color w:val="1d2228"/>
          <w:sz w:val="24"/>
          <w:szCs w:val="24"/>
          <w:highlight w:val="white"/>
          <w:rtl w:val="0"/>
        </w:rPr>
        <w:t xml:space="preserve">Williams, Marian, R., Demuth, Stephen, &amp; Holbom, Jefferson, E. (2008). Understanding the</w:t>
      </w:r>
    </w:p>
    <w:p w:rsidR="00000000" w:rsidDel="00000000" w:rsidP="00000000" w:rsidRDefault="00000000" w:rsidRPr="00000000" w14:paraId="00000023">
      <w:pPr>
        <w:spacing w:after="240" w:before="240" w:line="480" w:lineRule="auto"/>
        <w:ind w:left="720" w:firstLine="0"/>
        <w:rPr>
          <w:rFonts w:ascii="Times New Roman" w:cs="Times New Roman" w:eastAsia="Times New Roman" w:hAnsi="Times New Roman"/>
          <w:color w:val="1d2228"/>
          <w:sz w:val="24"/>
          <w:szCs w:val="24"/>
          <w:highlight w:val="white"/>
        </w:rPr>
      </w:pPr>
      <w:r w:rsidDel="00000000" w:rsidR="00000000" w:rsidRPr="00000000">
        <w:rPr>
          <w:rFonts w:ascii="Times New Roman" w:cs="Times New Roman" w:eastAsia="Times New Roman" w:hAnsi="Times New Roman"/>
          <w:color w:val="1d2228"/>
          <w:sz w:val="24"/>
          <w:szCs w:val="24"/>
          <w:highlight w:val="white"/>
          <w:rtl w:val="0"/>
        </w:rPr>
        <w:t xml:space="preserve"> influence of victim gender in death penalty cases: The importance of victim race, sex-related victimization, and jury decision making*. </w:t>
      </w:r>
      <w:r w:rsidDel="00000000" w:rsidR="00000000" w:rsidRPr="00000000">
        <w:rPr>
          <w:rFonts w:ascii="Times New Roman" w:cs="Times New Roman" w:eastAsia="Times New Roman" w:hAnsi="Times New Roman"/>
          <w:i w:val="1"/>
          <w:color w:val="1d2228"/>
          <w:sz w:val="24"/>
          <w:szCs w:val="24"/>
          <w:highlight w:val="white"/>
          <w:rtl w:val="0"/>
        </w:rPr>
        <w:t xml:space="preserve">Criminology</w:t>
      </w:r>
      <w:r w:rsidDel="00000000" w:rsidR="00000000" w:rsidRPr="00000000">
        <w:rPr>
          <w:rFonts w:ascii="Times New Roman" w:cs="Times New Roman" w:eastAsia="Times New Roman" w:hAnsi="Times New Roman"/>
          <w:color w:val="1d2228"/>
          <w:sz w:val="24"/>
          <w:szCs w:val="24"/>
          <w:highlight w:val="white"/>
          <w:rtl w:val="0"/>
        </w:rPr>
        <w:t xml:space="preserve">, </w:t>
      </w:r>
      <w:r w:rsidDel="00000000" w:rsidR="00000000" w:rsidRPr="00000000">
        <w:rPr>
          <w:rFonts w:ascii="Times New Roman" w:cs="Times New Roman" w:eastAsia="Times New Roman" w:hAnsi="Times New Roman"/>
          <w:i w:val="1"/>
          <w:color w:val="1d2228"/>
          <w:sz w:val="24"/>
          <w:szCs w:val="24"/>
          <w:highlight w:val="white"/>
          <w:rtl w:val="0"/>
        </w:rPr>
        <w:t xml:space="preserve">45</w:t>
      </w:r>
      <w:r w:rsidDel="00000000" w:rsidR="00000000" w:rsidRPr="00000000">
        <w:rPr>
          <w:rFonts w:ascii="Times New Roman" w:cs="Times New Roman" w:eastAsia="Times New Roman" w:hAnsi="Times New Roman"/>
          <w:color w:val="1d2228"/>
          <w:sz w:val="24"/>
          <w:szCs w:val="24"/>
          <w:highlight w:val="white"/>
          <w:rtl w:val="0"/>
        </w:rPr>
        <w:t xml:space="preserve">(4), 865–891. https://doi.org/10.1111/j.1745-9125.2007.00095.x </w:t>
      </w:r>
    </w:p>
    <w:p w:rsidR="00000000" w:rsidDel="00000000" w:rsidP="00000000" w:rsidRDefault="00000000" w:rsidRPr="00000000" w14:paraId="00000024">
      <w:pPr>
        <w:spacing w:after="240" w:before="240" w:line="480" w:lineRule="auto"/>
        <w:ind w:left="720" w:firstLine="0"/>
        <w:rPr>
          <w:rFonts w:ascii="Times New Roman" w:cs="Times New Roman" w:eastAsia="Times New Roman" w:hAnsi="Times New Roman"/>
          <w:color w:val="1d2228"/>
          <w:sz w:val="24"/>
          <w:szCs w:val="24"/>
          <w:highlight w:val="white"/>
        </w:rPr>
      </w:pPr>
      <w:r w:rsidDel="00000000" w:rsidR="00000000" w:rsidRPr="00000000">
        <w:rPr>
          <w:rtl w:val="0"/>
        </w:rPr>
      </w:r>
    </w:p>
    <w:p w:rsidR="00000000" w:rsidDel="00000000" w:rsidP="00000000" w:rsidRDefault="00000000" w:rsidRPr="00000000" w14:paraId="00000025">
      <w:pPr>
        <w:spacing w:line="480" w:lineRule="auto"/>
        <w:rPr>
          <w:rFonts w:ascii="Times New Roman" w:cs="Times New Roman" w:eastAsia="Times New Roman" w:hAnsi="Times New Roman"/>
          <w:color w:val="1d2228"/>
          <w:sz w:val="24"/>
          <w:szCs w:val="24"/>
          <w:highlight w:val="white"/>
        </w:rPr>
      </w:pPr>
      <w:r w:rsidDel="00000000" w:rsidR="00000000" w:rsidRPr="00000000">
        <w:rPr>
          <w:rtl w:val="0"/>
        </w:rPr>
      </w:r>
    </w:p>
    <w:p w:rsidR="00000000" w:rsidDel="00000000" w:rsidP="00000000" w:rsidRDefault="00000000" w:rsidRPr="00000000" w14:paraId="00000026">
      <w:pPr>
        <w:spacing w:line="480" w:lineRule="auto"/>
        <w:ind w:left="720" w:firstLine="0"/>
        <w:rPr>
          <w:rFonts w:ascii="Times New Roman" w:cs="Times New Roman" w:eastAsia="Times New Roman" w:hAnsi="Times New Roman"/>
          <w:color w:val="1d2228"/>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002/bsl.9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